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(2025)大狱管执字第223号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罪犯陈家康，男，1943年5月10日出生，汉族，农民，云南省临沧市临翔区人，小学文化，现在云南省大理监狱服刑。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云南省临沧市临翔区人民法院于2021年10月25日作出（2021）云0902刑初186号刑事判决，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以被告人陈家康犯故意伤害罪，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判处有期徒刑四年，共同赔偿</w:t>
      </w:r>
      <w:r>
        <w:rPr>
          <w:rFonts w:ascii="仿宋_GB2312" w:eastAsia="仿宋_GB2312" w:hAnsi="仿宋_GB2312" w:cs="仿宋_GB2312"/>
          <w:sz w:val="30"/>
          <w:lang w:val="en-US" w:eastAsia="zh-CN"/>
        </w:rPr>
        <w:t>附带民事诉讼赔偿56811.5元。刑事附带民事诉讼原告人不服，提出上诉，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云南省临沧市中级人民法院于2021年12月30日作出（2021）云09刑终280号刑事裁定，驳回上诉，维持原判。判决发生法律效力后，于2022年03月01日交付监狱执行刑罚。现刑期自2021年10月27日至2025年10月26日止。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03月至2024年11月获记表扬4次，1次物质奖励，经查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云南省临沧市临翔区人民法院（2022）云0902执525号执行裁定书中载明，罪犯陈家康财产性判项终结本次执行程序，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已终止履行单独赔偿附带民事诉讼原告人人民币56811.50元，本考核期内未缴纳财产性判项；期内月均消费64.67元，最高消费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136.1元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（2024年11月），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账户余额1401.33元。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减刑周期内无因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不成劳动任务被扣减劳动规范分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情况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；因违反服刑人员基本规范被扣分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24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日，自最后一次违规之日起至 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2025 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年 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1 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月 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</w:t>
      </w:r>
      <w:r>
        <w:rPr>
          <w:rFonts w:ascii="仿宋_GB2312" w:eastAsia="仿宋_GB2312" w:hAnsi="仿宋_GB2312" w:cs="仿宋_GB2312"/>
          <w:sz w:val="30"/>
          <w:lang w:val="en-US" w:eastAsia="zh-CN"/>
        </w:rPr>
        <w:t>3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个月，该犯能够认真遵守监规，无违规被扣分的情况，该犯有特定被害人，未取得谅解。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为此，根据《中华人民共和国刑法》第七十八条第一款、第七十九条、《中华人民共和国刑事诉讼法》第二百七十三条第二款、《中华人民共和国监狱法》第二十九条、第三十条之规定，建议对罪犯陈家康予以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