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(2025)大狱管执字第219号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罪犯甯永生，男，1988年6月6日出生，汉族，农民，贵州省纳雍县人，初中文化，现在云南省大理监狱服刑。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09月23日作出（2021）云2901刑初474号刑事附带民事判决，以被告人甯永生犯失火罪，判处有期徒刑四年，并处单独赔偿附带民事诉讼原告人人民币6662594.70元。判决发生法律效力后，于2021年11月05日交付监狱执行刑罚。现刑期自2021年5月9日至2025年5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11月获记表扬5次，物质奖励1次，通过查阅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云南省大理市人民法院（2022）云2901执860号执行裁定书；云南省大理市人民法院（2022）云2901执861号执行裁定书，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已终结执行单独赔偿附带民事诉讼原告人人民币6662594.70元；期内月均消费160.73元，账户余额1158.51元，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299.64元（2023年3月、2024年4月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减刑周期内共有3个月完不成劳动任务被扣分，其余均能完成劳动任务；减刑周期内因违反服刑人员基本规范被扣分1次扣减2分，最后一次违规时间为2022年6月9日，自最后一次违规之日起至2025年1月9日监区进行立案审查之日止共7个月，该犯能够认真遵守监规，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为此，根据《中华人民共和国刑法》第七十八条第一款、第七十九条、《中华人民共和国刑事诉讼法》第二百七十三条第二款、《中华人民共和国监狱法》第二十九条、第三十条之规定，建议对罪犯甯永生予以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减去有期徒刑一个月。特提请裁定。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