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(2025)大狱管执字第94号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罪犯杨亚虎，男，1986年10月20日出生，白族，农民，云南省大理市人，小学文化，现在云南省大理监狱服刑。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市人民法院于2021年12月28日作出（2021）云2901刑初673号刑事判决，以被告人杨亚虎犯聚众斗殴罪，判处有期徒刑四年；犯贩卖毒品罪，判处有期徒刑三年，并处罚金人民币5000.00元，数罪并罚，决定执行有期徒刑六年，并处罚金人民币5000.00元，违法所得继续予以追缴。宣判后，被告人杨亚虎及同案犯不服，提出上诉。云南省大理白族自治州中级人民法院于2022年03月18日作出（2022）云29刑终47号刑事裁定，驳回上诉，维持原判。判决发生法律效力后，于2022年05月13日交付监狱执行刑罚。现刑期自2</w:t>
      </w:r>
      <w:r>
        <w:rPr>
          <w:rFonts w:ascii="仿宋_GB2312" w:eastAsia="仿宋_GB2312" w:hAnsi="仿宋_GB2312" w:cs="仿宋_GB2312"/>
          <w:sz w:val="30"/>
          <w:lang w:val="en-US" w:eastAsia="zh-CN"/>
        </w:rPr>
        <w:t>021年3月11日至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2026年12月7日止。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该犯在刑罚执行期间，认罪悔罪；认真遵守法律法规及监规，接受教育改造；积极参加思想、文化、职业技术教育；积极参加劳动，努力完成各项劳动任务，2022年08月至2024年11月获记表扬5次，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另查明，该犯系累犯，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未履行财产性判项；期内月均消费76.71元，单月最高消费298.30元，账户余额3851.38元。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减刑周期内均能完成劳动任务，无被扣减劳动规范分情形；减刑周期内该犯能够认真遵守监规，无因违反服刑人员基本规范被扣分情形。无特定被害人。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为此，根据《中华人民共和国刑法》第七十八条第一款、第七十九条、《中华人民共和国刑事诉讼法》第二百七十三条第二款、《中华人民共和国监狱法》第二十九条、第三十条之规定，建议对罪犯杨亚虎予以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减去有期徒刑四个月。特提请裁定。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2025年04月03日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