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(2024)大狱管执假释字第17号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罪犯纠木乃，男，1974年6月13日出生，彝族，农民，四川省普格县人，初中文化，现在云南省大理监狱服刑。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2013年03月05日作出（2013）大中刑初字第5号刑事判决，以被告人纠木乃犯运输毒品罪，判处有期徒刑十五年，并处没收个人全部财产。宣判后，被告人纠木乃及同案犯不服，提出上诉。云南省高级人民法院于2013年11月12日作出（2013）云高刑终字第593号刑事判决，维持对被告人纠木乃定罪量刑。判决发生法律效力后，于2014年02月21日交付监狱执行刑罚。执行期间，于2016年07月18日经云南省大理白族自治州中级人民法院以(2016)云29刑更1078号裁定，裁定减去有期徒刑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八个月；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于2018年03月20日经云南省大理白族自治州中级人民法院以(2018)云29刑更266号裁定，裁定减去有期徒刑八个月；于2020年05月28日经云南省大理白族自治州中级人民法院以(2020)云29刑更191号裁定，裁定减去有期徒刑六个月；于2022年12月30日经云南省大理白族自治州中级人民法院以(2022)云29刑更269号裁定，裁定减去有期徒刑八个月。现刑期自2012年8月21日至2025年2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03月获记表扬3次，物质奖励1次，已终结履行没收全部财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2023年12月5日，云南省大理白族自治州中级人民法院以执行裁定书（2023）云29执770号裁定如下：终结本院（2023）云29执770号案件的执行。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）。本考</w:t>
      </w:r>
      <w:r>
        <w:rPr>
          <w:rFonts w:ascii="仿宋_GB2312" w:eastAsia="仿宋_GB2312" w:hAnsi="仿宋_GB2312" w:cs="仿宋_GB2312"/>
          <w:sz w:val="30"/>
          <w:lang w:val="en-US" w:eastAsia="zh-CN"/>
        </w:rPr>
        <w:t>核期内未</w:t>
      </w:r>
      <w:r>
        <w:rPr>
          <w:rFonts w:ascii="仿宋_GB2312" w:eastAsia="仿宋_GB2312" w:hAnsi="仿宋_GB2312" w:cs="仿宋_GB2312"/>
          <w:sz w:val="30"/>
          <w:lang w:val="en-US" w:eastAsia="zh-CN"/>
        </w:rPr>
        <w:t>缴纳财产性判项；期内月均消费273.76元，账户余额6185.08元。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299.99元，减刑周期内共有3个月完不成劳动任务被扣减劳动规范分3次，共扣减12.2分，其余25个月均能完成劳动任务；无因违反服刑人员基本规范被扣分。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为此，根据《中华人民共和国刑法》第八十一条第一款、《中华人民共和国刑事诉讼法》第二百七十三条第二款、《中华人民共和国监狱法》第三十二条之规定，建议对罪犯纠木乃予以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