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(2024)大狱管执字第437号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罪犯黄俊超，男，1990年8月20日出生，汉族，四川省营山县人，无业，初中文化，现在云南省大理监狱服刑。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于2022年01月27日作出（2021）云29刑初36号刑事判决，以被告人黄俊超犯虚开增值税专用发票罪，判处有期徒刑五年，并处罚金人民币150000.00元。云南省高级人民法院于2022年04月21日作出（2022）云刑终334号刑事裁定，维持原判。判决发生法律效力后，于2022年06月02日交付监狱执行刑罚。现刑期自2021年1月18日至2026年1月17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Arial" w:eastAsia="Arial" w:hAnsi="Arial" w:cs="Arial"/>
          <w:color w:val="000000"/>
        </w:rPr>
      </w:pPr>
      <w:bookmarkStart w:id="7" w:name="data_str_3"/>
      <w:r>
        <w:rPr>
          <w:rFonts w:ascii="仿宋_GB2312" w:eastAsia="仿宋_GB2312" w:hAnsi="仿宋_GB2312" w:cs="仿宋_GB2312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06月至2024年08月获记表扬3次，物质奖励1次，财产刑判项为罚金人民币150000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2023年2月8日，大理白族自治州中级人民法院下达了（2023）云29执67号结案通知书，通知被执行人（2021）云29执67号案件罚金150000元执行完毕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；周期内月均消费239.00元，账户余额5838.83元，</w:t>
      </w:r>
      <w:bookmarkEnd w:id="7"/>
      <w:r>
        <w:rPr>
          <w:rFonts w:ascii="Arial" w:eastAsia="Arial" w:hAnsi="Arial" w:cs="Arial"/>
          <w:color w:val="000000"/>
          <w:sz w:val="30"/>
        </w:rPr>
        <w:t>2024年7月为最高消费月，数额为299.92元。减刑周期内共有5个月完不成劳动任务被扣减劳动规范分，累计扣减劳动规范分8.6分，其余20个月均能完成劳动任务。该犯能够认真遵守监规，无违规被扣分的情况。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为此，根据《中华人民共和国刑法》第七十八条第一款、第七十九条、《中华人民共和国刑事诉讼法》第二百七十三条第二款、《中华人民共和国监狱法》第二十九条、第三十条之规定，建议对罪犯黄俊超予以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减去有期徒刑七个月。特提请裁定。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2024年12月18日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