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(2024)大狱管执字第442号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罪犯赵剑兵，男，1991年6月6日出生，汉族，农民，云南省巍山彝族回族自治县人，初中文化，现在云南省大理监狱服刑。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云龙县人民法院于2017年09月08日作出(2017)云2929刑初61号刑事判决，以被告人赵剑兵犯贩卖毒品罪，判处有期徒刑十一年，并处罚金人民币15000.00元。判决发生法律效力后，于2017年09月25日交付监狱执行刑罚。执行期间，于2022年12月30日经云南省大理白族自治州中级人民法院以(2022)云29刑更385号裁定，裁定减去有期徒刑六个月。现刑期自2017年5月11日至2027年11月10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08月获记表扬5次，另查明，该犯系累犯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云南省非税收入统一票据（电子）票据号码：0024811785证明,罪犯赵剑兵于2024年10月17日向云龙县人民法院缴纳法院罚没收入15000元。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罚金已全部履行，其中本次考核期内执行罚金人民币15000.00元；期内月均消费267.54元，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最高消费为2024年4月299.78元，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账户余额1529.23元。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该犯能够认真遵守监规，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周期内无扣分情形；无特定被害人。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为此，根据《中华人民共和国刑法》第七十八条第一款、第七十九条、《中华人民共和国刑事诉讼法》第二百七十三条第二款、《中华人民共和国监狱法》第二十九条、第三十条之规定，建议对罪犯赵剑兵予以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