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(2024)大狱管执字第450号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罪犯杨磊生，男，1979年6月6日出生，汉族，无业，云南省大理市人，初中文化，现在云南省大理监狱服刑。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2020年07月14日作出（2020）云29刑初61号刑事判决，以被告人杨磊生犯贩卖毒品罪，判处有期徒刑十五年，并处没收个人财产人民币20000.00元。判决发生法律效力后，于2020年10月26日交付监狱执行刑罚。现刑期自2019年11月6日至2034年11月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01月至2024年07月获记表扬5次，物质奖励2次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年9月18日，云南省罚非税收入统一票据（票据代码：53010123）证明法院罚没收入20000元；2024年9月30日，云南省大理白族自治州中级人民法院出具结案通知书，证明被执行人杨磊生没收个人财产20000元已全部执行完毕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</w:t>
      </w:r>
      <w:r>
        <w:rPr>
          <w:rFonts w:ascii="仿宋_GB2312" w:eastAsia="仿宋_GB2312" w:hAnsi="仿宋_GB2312" w:cs="仿宋_GB2312"/>
          <w:sz w:val="30"/>
          <w:lang w:val="en-US" w:eastAsia="zh-CN"/>
        </w:rPr>
        <w:t>内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92.85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277.83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930.75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31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142.5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13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个月均能完成劳动任务；减刑周期内因违反监规纪律被扣分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3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15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4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 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日监区进行立案审查之日止共间隔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为此，根据《中华人民共和国刑法》第七十八条第一款、第七十九条、《中华人民共和国刑事诉讼法》第二百七十三条第二款、《中华人民共和国监狱法》第二十九条、第三十条之规定，建议对罪犯杨磊生予以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2024年12月18日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