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(2024)大狱管执字第285号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罪犯杨祥，男，1996年2月2日出生，白族，农民，云南省云龙县人，初中文化，现在云南省大理监狱服刑。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2017年06月02日作出(2017)云29刑初36号刑事判决，以被告人杨祥犯故意伤害罪，判处有期徒刑十年。判决发生法律效力后，于2017年07月14日交付监狱执行刑罚。执行期间，于2020年05月28日经云南省大理白族自治州中级人民法院以(2020)云29刑更219号裁定，裁定减去有期徒刑六个月；于2022年10月28日经云南省大理白族自治州中级人民法院以(2022)云29刑更25号裁定，裁定减去有期徒刑九个月。现刑期自2016年5月13日至2025年2月12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01月至2024年03月获记表扬5次，期内月均消费275.98元，账户余额9103.09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299.98元（2024年2月）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；减刑周期内因违反服刑人员基本规范被扣分1次共扣减2分，最后一次违规时间为2022年7月7日，自最后一次违规之日起至2024年7月29日监区进行立案审查之日止共2年，该犯能够认真遵守监规，无违规被扣分的情况，该犯已取得特定被害人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为此，根据《中华人民共和国刑法》第七十八条第一款、第七十九条、《中华人民共和国刑事诉讼法》第二百七十三条第二款、《中华人民共和国监狱法》第二十九条、第三十条之规定，建议对罪犯杨祥予以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