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(2024)大狱管执字第274号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罪犯柳政权，男，1995年7月26日出生，汉族，农民，云南省宾川县人，初中文化，现在云南省大理监狱服刑。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2013年04月18日作出（2013）大中刑初字第24号刑事附带民事判决，以被告人柳政权犯故意伤害罪，判处有期徒刑十五年，并处单独赔偿附带民事诉讼原告人人民币45098.00元。宣判后，刑事附带民事诉讼原告人不服，提出上诉。云南省高级人民法院于2013年08月04日作出（2013）云高刑终字第861号刑事附带民事裁定，驳回上诉，维持原判。判决发生法律效力后，于2013年11月19日交付监狱执行刑罚。执行期间，于2016年03月18日经云南省大理白族自治州中级人民法院以(201</w:t>
      </w:r>
      <w:r>
        <w:rPr>
          <w:rFonts w:ascii="仿宋_GB2312" w:eastAsia="仿宋_GB2312" w:hAnsi="仿宋_GB2312" w:cs="仿宋_GB2312"/>
          <w:sz w:val="30"/>
          <w:lang w:val="en-US" w:eastAsia="zh-CN"/>
        </w:rPr>
        <w:t>6)云29刑更473号裁定，裁定减去有期徒刑五个月；于2017年11月02日经云南省大理白族自治州中级人民法院以(2017)云29刑更818号裁定，裁定减去有期徒刑八个月；于2019年12月12日经云南省大理白族自治州中级人民法院以(2019)云29刑更1043号裁定，裁定减去有期徒刑九个月；于2022年10月28日经云南省大理白族自治州中级人民法院以(2022)云29刑更47号裁定，裁定减去有期徒刑九个月。现刑期自2012年8月9日至2025年1月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03月至2024年06月获记表扬5次，单独赔偿附带民事诉讼原告人已履行完毕；期内月均消费285.17元，单月最高消费为299.99元，账户余额11701.47元。周期内无违规扣分情形。该犯有特定被害人未取得谅解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为此，根据《中华人民共和国刑法》第七十八条第一款、第七十九条、《中华人民共和国刑事诉讼法》第二百七十三条第二款、《中华人民共和国监狱法》第二十九条、第三十条之规定，建议对罪犯柳政权予以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减去有期徒刑三个月。特提请裁定。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