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罪犯毕正胸，男，1990年4月1日出生，彝族，农民，云南省南涧彝族自治县人，初中文化，现在云南省大理监狱服刑。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2014年11月17日作出(2014)大中刑初字第138号刑事附带民事判决，以被告人毕正胸犯故意伤害罪，判处有期徒刑十五年，并处单独赔偿附带民事诉讼原告人人民币30000.00元。判决发生法律效力后，于2015年02月02日交付监狱执行刑罚。执行期间，于2017年11月02日经云南省大理白族自治州中级人民法院以(2017)云29刑更808号裁定，裁定减去有期徒刑六个月；于2019年12月12日经云南省大理白族自治州中级人民法院以(2019)云29刑更1290号裁定，裁定减去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期徒刑八个月；于2022年10月28日经云南省大理白族自治州中级人民法院以(2022)云29刑更91号裁定，裁定减去有期徒刑九个月。现刑期自2014年4月21日至2027年5月20日止。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02月至2024年05月获记表扬5次，单独赔偿附带民事诉讼原告人已履行完毕；期内月均消费282.41元，账户余额5072.43元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299.96元（2023年9月）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减刑周期内均能完成劳动任务；减刑周期内该犯能够认真遵守监规，无违规被扣分的情况，该犯未取得特定被害人谅解。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为此，根据《中华人民共和国刑法》第七十八条第一款、第七十九条、《中华人民共和国刑事诉讼法》第二百七十三条第二款、《中华人民共和国监狱法》第二十九条、第三十条之规定，建议对罪犯毕正胸予以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