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罪犯郭通生，男，1993年3月30日出生，汉族，农民，湖北省老河口市人，小学文化，现在云南省大理监狱服刑。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01月09日作出(2018)云29刑初145号刑事附带民事判决，以被告人郭通生犯故意伤害罪，判处有期徒刑十一年，并处共同赔偿附带民事诉讼原告人人民币160000.00元。判决发生法律效力后，于2019年02月01日交付监狱执行刑罚。执行期间，于2022年10月28日经云南省大理白族自治州中级人民法院以(2022)云29刑更20号裁定，裁定减去有期徒刑九个月。现刑期自2018年4月26日至2028年7月25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06月获记表扬5次，财产性判项已履行完毕；期内月均消费282.83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单月最高消费299.98元，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账户余额20094.00元。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减刑周期内均能完成劳动任务；未因违反服刑人员基本规范被扣分，该犯能够认真遵守监规，无违规被扣分的情况。有特定被害人，无谅解书。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为此，根据《中华人民共和国刑法》第七十八条第一款、第七十九条、《中华人民共和国刑事诉讼法》第二百七十三条第二款、《中华人民共和国监狱法》第二十九条、第三十条之规定，建议对罪犯郭通生予以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