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(2024)大狱管执字第180号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罪犯黄文彬，男，1992年12月3日出生，汉族，无业，江西省修水县人，大学文化，现在云南省大理监狱服刑。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2022年03月30日作出（2022）云2901刑初144号刑事判决，以被告人黄文彬犯掩饰、隐瞒犯罪所得罪，判处有期徒刑三年，并处罚金人民币10000.00元；共同追缴全部违法所得。宣判后，被告人黄文彬不服，提出上诉。云南省大理白族自治州中级人民法院于2022年05月30日作出（2022）云29刑终147号刑事裁定，驳回上诉，维持原判。判决发生法律效力后，于2022年06月21日交付监狱执行刑罚。现刑期自2021年8月17日至2024年8月16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该犯在刑罚执行期间，认罪悔罪；认真遵守法律法规及监规，接受教育改造；积极参加思想、文化、职业技术教育；积极参加劳动，努力完成各项劳动任务，2022年09月至2024年02月获记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2次表扬，1次物质奖励；另查明，该犯罚金10000元、违法所得继续追缴，罚金已缴纳、违法所得划扣存款633元，终结案件执行；期内月均消费213.28元，单月最高消费2023年3月299.83元，账户余额1728.64元。减刑周期内共有2个月完不成劳动任务被扣减劳动规范分3.5分，其余16个月均能完成劳动任务；减刑周期内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为此，根据《中华人民共和国刑法》第七十八条第一款、第七十九条、《中华人民共和国刑事诉讼法》第二百七十三条第二款、《中华人民共和国监狱法》第二十九条、第三十条之规定，建议对罪犯黄文彬予以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减去有期徒刑二个月。特提请裁定。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2024年06月27日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