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黑体简体" w:hAnsi="仿宋" w:eastAsia="方正黑体简体" w:cs="仿宋"/>
          <w:sz w:val="32"/>
          <w:szCs w:val="32"/>
        </w:rPr>
      </w:pPr>
      <w:r>
        <w:rPr>
          <w:rFonts w:hint="eastAsia" w:ascii="方正黑体简体" w:hAnsi="仿宋" w:eastAsia="方正黑体简体" w:cs="仿宋"/>
          <w:sz w:val="32"/>
          <w:szCs w:val="32"/>
        </w:rPr>
        <w:t>附件</w:t>
      </w:r>
      <w:r>
        <w:rPr>
          <w:rFonts w:hint="eastAsia" w:ascii="宋体" w:hAnsi="宋体" w:eastAsia="方正黑体简体" w:cs="仿宋"/>
          <w:sz w:val="32"/>
          <w:szCs w:val="32"/>
        </w:rPr>
        <w:t>2</w:t>
      </w:r>
    </w:p>
    <w:tbl>
      <w:tblPr>
        <w:tblStyle w:val="2"/>
        <w:tblW w:w="9207" w:type="dxa"/>
        <w:jc w:val="center"/>
        <w:tblInd w:w="6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9207"/>
      </w:tblGrid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73" w:hRule="atLeast"/>
          <w:jc w:val="center"/>
        </w:trPr>
        <w:tc>
          <w:tcPr>
            <w:tcW w:w="9207" w:type="dxa"/>
            <w:tcBorders>
              <w:top w:val="single" w:color="808080" w:sz="6" w:space="0"/>
              <w:left w:val="single" w:color="808080" w:sz="6" w:space="0"/>
              <w:bottom w:val="single" w:color="auto" w:sz="4" w:space="0"/>
              <w:right w:val="single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>
            <w:pPr>
              <w:widowControl/>
              <w:spacing w:line="48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2"/>
                <w:szCs w:val="32"/>
              </w:rPr>
              <w:t>承    诺    书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894" w:hRule="atLeast"/>
          <w:jc w:val="center"/>
        </w:trPr>
        <w:tc>
          <w:tcPr>
            <w:tcW w:w="9207" w:type="dxa"/>
            <w:tcBorders>
              <w:top w:val="single" w:color="808080" w:sz="6" w:space="0"/>
              <w:left w:val="single" w:color="808080" w:sz="6" w:space="0"/>
              <w:bottom w:val="single" w:color="auto" w:sz="4" w:space="0"/>
              <w:right w:val="single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>
            <w:pPr>
              <w:widowControl/>
              <w:spacing w:line="480" w:lineRule="exact"/>
              <w:ind w:firstLine="560" w:firstLineChars="200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本机构自愿申请进入人民法院对外委托备选机构名册，且已详尽阅知以下事项，并承诺在受托执业中严格遵守：</w:t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 xml:space="preserve">   （一）遵守国家法律法规和技术操作规范，依法、独立、客观、公正地办理委托事项，并对出具的报告文书负责；</w:t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 xml:space="preserve">   （二）遵守职业道德和职业纪律，不与当事人或人民法院工作人员恶意串通、徇私舞弊，损害他人利益；  </w:t>
            </w:r>
          </w:p>
          <w:p>
            <w:pPr>
              <w:widowControl/>
              <w:spacing w:line="480" w:lineRule="exact"/>
              <w:ind w:firstLine="560" w:firstLineChars="200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（三）自觉接受法院监督；无正当理由不拒绝接受人民法院委托；</w:t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 xml:space="preserve">   （四）指派本机构中具有相应执业资格的从业人员办理委托事项，严格工作流程和程序要求，规范执业行为；</w:t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 xml:space="preserve">   （五）办理委托事项的执业人员具有法定回避情形的，应当主动回避；</w:t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 xml:space="preserve">   （六）未经委托法院同意，在受托执业中不得私自会见或接触当事人；</w:t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 xml:space="preserve">   （七）未经委托法院同意，不得擅自将受托工作部分或全部转让给其他机构或个人；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ind w:firstLine="560" w:firstLineChars="200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保守在办理委托事项中知悉的国家秘密、商业秘密和个人隐私，未经委托法院同意，不向任何组织和个人提供与委托事项有关的信息；</w:t>
            </w:r>
          </w:p>
          <w:p>
            <w:pPr>
              <w:widowControl/>
              <w:spacing w:line="480" w:lineRule="exact"/>
              <w:ind w:firstLine="560" w:firstLineChars="200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（九）依照有关技术规范保管和使用证据材料，办理委托事项需要用尽或毁损检材的，应当取得委托法院书面授权；</w:t>
            </w:r>
          </w:p>
          <w:p>
            <w:pPr>
              <w:widowControl/>
              <w:spacing w:line="480" w:lineRule="exact"/>
              <w:ind w:firstLine="560" w:firstLineChars="200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（十）按照国家规定的收费项目和标准收取鉴定费用；</w:t>
            </w:r>
          </w:p>
          <w:p>
            <w:pPr>
              <w:widowControl/>
              <w:spacing w:line="480" w:lineRule="exact"/>
              <w:ind w:firstLine="560" w:firstLineChars="200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（十一）按照委托法院的委托要求和时限完成委托事项办理工作；</w:t>
            </w:r>
          </w:p>
          <w:p>
            <w:pPr>
              <w:widowControl/>
              <w:spacing w:line="480" w:lineRule="exact"/>
              <w:ind w:firstLine="560" w:firstLineChars="200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（十二）按照人民法院的通知要求和指定日期参加听证、出庭作证。</w:t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　　　　　　　          　法定代表人签字：</w:t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 xml:space="preserve">　　　　　　　　　　                     </w:t>
            </w:r>
          </w:p>
          <w:p>
            <w:pPr>
              <w:widowControl/>
              <w:spacing w:line="480" w:lineRule="exact"/>
              <w:ind w:firstLine="5600" w:firstLineChars="2000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二</w:t>
            </w:r>
            <w:r>
              <w:rPr>
                <w:rFonts w:hint="eastAsia" w:ascii="方正仿宋简体" w:hAnsi="宋体" w:cs="宋体"/>
                <w:kern w:val="0"/>
                <w:sz w:val="28"/>
                <w:szCs w:val="28"/>
              </w:rPr>
              <w:t>〇</w:t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 xml:space="preserve">二四年三月　　日 </w:t>
            </w:r>
          </w:p>
          <w:p>
            <w:pPr>
              <w:widowControl/>
              <w:spacing w:line="480" w:lineRule="exact"/>
              <w:ind w:firstLine="6160" w:firstLineChars="2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（公司印章）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9591C"/>
    <w:multiLevelType w:val="singleLevel"/>
    <w:tmpl w:val="6EE9591C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0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2024-03-11T08:51:06Z</dcterms:created>
  <dc:creator>张志昆</dc:creator>
  <cp:lastModifiedBy>zzk</cp:lastModifiedBy>
  <dcterms:modified xsi:type="dcterms:W3CDTF">2024-03-11T08:51:16Z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